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85" w:rsidRDefault="00917B85">
      <w:pPr>
        <w:rPr>
          <w:rFonts w:ascii="Bookman Old Style" w:hAnsi="Bookman Old Style"/>
          <w:b/>
          <w:sz w:val="24"/>
          <w:szCs w:val="24"/>
        </w:rPr>
      </w:pPr>
      <w:r>
        <w:rPr>
          <w:rFonts w:ascii="Bookman Old Style" w:hAnsi="Bookman Old Style"/>
          <w:b/>
          <w:sz w:val="24"/>
          <w:szCs w:val="24"/>
        </w:rPr>
        <w:t>Borg, Chapter 4</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04.26.15</w:t>
      </w:r>
    </w:p>
    <w:p w:rsidR="00917B85" w:rsidRDefault="00917B85">
      <w:pPr>
        <w:rPr>
          <w:rFonts w:ascii="Bookman Old Style" w:hAnsi="Bookman Old Style"/>
          <w:sz w:val="24"/>
          <w:szCs w:val="24"/>
        </w:rPr>
      </w:pPr>
      <w:r>
        <w:rPr>
          <w:rFonts w:ascii="Bookman Old Style" w:hAnsi="Bookman Old Style"/>
          <w:sz w:val="24"/>
          <w:szCs w:val="24"/>
        </w:rPr>
        <w:t xml:space="preserve">Three stages: </w:t>
      </w:r>
      <w:proofErr w:type="spellStart"/>
      <w:r>
        <w:rPr>
          <w:rFonts w:ascii="Bookman Old Style" w:hAnsi="Bookman Old Style"/>
          <w:sz w:val="24"/>
          <w:szCs w:val="24"/>
        </w:rPr>
        <w:t>precritical</w:t>
      </w:r>
      <w:proofErr w:type="spellEnd"/>
      <w:r>
        <w:rPr>
          <w:rFonts w:ascii="Bookman Old Style" w:hAnsi="Bookman Old Style"/>
          <w:sz w:val="24"/>
          <w:szCs w:val="24"/>
        </w:rPr>
        <w:t xml:space="preserve"> </w:t>
      </w:r>
      <w:proofErr w:type="spellStart"/>
      <w:r>
        <w:rPr>
          <w:rFonts w:ascii="Bookman Old Style" w:hAnsi="Bookman Old Style"/>
          <w:sz w:val="24"/>
          <w:szCs w:val="24"/>
        </w:rPr>
        <w:t>naivete</w:t>
      </w:r>
      <w:proofErr w:type="spellEnd"/>
      <w:r>
        <w:rPr>
          <w:rFonts w:ascii="Bookman Old Style" w:hAnsi="Bookman Old Style"/>
          <w:sz w:val="24"/>
          <w:szCs w:val="24"/>
        </w:rPr>
        <w:t xml:space="preserve">, critical thinking, </w:t>
      </w:r>
      <w:proofErr w:type="spellStart"/>
      <w:r>
        <w:rPr>
          <w:rFonts w:ascii="Bookman Old Style" w:hAnsi="Bookman Old Style"/>
          <w:sz w:val="24"/>
          <w:szCs w:val="24"/>
        </w:rPr>
        <w:t>postcritical</w:t>
      </w:r>
      <w:proofErr w:type="spellEnd"/>
      <w:r>
        <w:rPr>
          <w:rFonts w:ascii="Bookman Old Style" w:hAnsi="Bookman Old Style"/>
          <w:sz w:val="24"/>
          <w:szCs w:val="24"/>
        </w:rPr>
        <w:t xml:space="preserve"> </w:t>
      </w:r>
      <w:proofErr w:type="gramStart"/>
      <w:r>
        <w:rPr>
          <w:rFonts w:ascii="Bookman Old Style" w:hAnsi="Bookman Old Style"/>
          <w:sz w:val="24"/>
          <w:szCs w:val="24"/>
        </w:rPr>
        <w:t>affirmation  (</w:t>
      </w:r>
      <w:proofErr w:type="gramEnd"/>
      <w:r>
        <w:rPr>
          <w:rFonts w:ascii="Bookman Old Style" w:hAnsi="Bookman Old Style"/>
          <w:sz w:val="24"/>
          <w:szCs w:val="24"/>
        </w:rPr>
        <w:t>53-57)</w:t>
      </w:r>
    </w:p>
    <w:p w:rsidR="00917B85" w:rsidRDefault="00917B85">
      <w:pPr>
        <w:rPr>
          <w:rFonts w:ascii="Bookman Old Style" w:hAnsi="Bookman Old Style"/>
          <w:sz w:val="24"/>
          <w:szCs w:val="24"/>
        </w:rPr>
      </w:pPr>
      <w:r>
        <w:rPr>
          <w:rFonts w:ascii="Bookman Old Style" w:hAnsi="Bookman Old Style"/>
          <w:sz w:val="24"/>
          <w:szCs w:val="24"/>
        </w:rPr>
        <w:t>Western ways of thinking are very muc</w:t>
      </w:r>
      <w:r w:rsidR="001461E9">
        <w:rPr>
          <w:rFonts w:ascii="Bookman Old Style" w:hAnsi="Bookman Old Style"/>
          <w:sz w:val="24"/>
          <w:szCs w:val="24"/>
        </w:rPr>
        <w:t>h</w:t>
      </w:r>
      <w:r>
        <w:rPr>
          <w:rFonts w:ascii="Bookman Old Style" w:hAnsi="Bookman Old Style"/>
          <w:sz w:val="24"/>
          <w:szCs w:val="24"/>
        </w:rPr>
        <w:t xml:space="preserve"> shaped by the identification of truth with factuality.  (55)</w:t>
      </w:r>
    </w:p>
    <w:p w:rsidR="00917B85" w:rsidRDefault="00917B85">
      <w:pPr>
        <w:rPr>
          <w:rFonts w:ascii="Bookman Old Style" w:hAnsi="Bookman Old Style"/>
          <w:sz w:val="24"/>
          <w:szCs w:val="24"/>
        </w:rPr>
      </w:pPr>
      <w:r>
        <w:rPr>
          <w:rFonts w:ascii="Bookman Old Style" w:hAnsi="Bookman Old Style"/>
          <w:sz w:val="24"/>
          <w:szCs w:val="24"/>
        </w:rPr>
        <w:t>Because modern critical thinking is corrosive of conventional religious beliefs, some Christians reject applying it to the Bible and Christianity.  The result is fundamentalism and much of conservative Christianity.  (55)</w:t>
      </w:r>
    </w:p>
    <w:p w:rsidR="00917B85" w:rsidRDefault="00917B85">
      <w:pPr>
        <w:rPr>
          <w:rFonts w:ascii="Bookman Old Style" w:hAnsi="Bookman Old Style"/>
          <w:sz w:val="24"/>
          <w:szCs w:val="24"/>
        </w:rPr>
      </w:pPr>
      <w:r>
        <w:rPr>
          <w:rFonts w:ascii="Bookman Old Style" w:hAnsi="Bookman Old Style"/>
          <w:sz w:val="24"/>
          <w:szCs w:val="24"/>
        </w:rPr>
        <w:t>I am able to see the truth of the Bible and Christianity, without imagining that it’</w:t>
      </w:r>
      <w:r w:rsidR="001461E9">
        <w:rPr>
          <w:rFonts w:ascii="Bookman Old Style" w:hAnsi="Bookman Old Style"/>
          <w:sz w:val="24"/>
          <w:szCs w:val="24"/>
        </w:rPr>
        <w:t xml:space="preserve">s all literally and absolutely </w:t>
      </w:r>
      <w:r>
        <w:rPr>
          <w:rFonts w:ascii="Bookman Old Style" w:hAnsi="Bookman Old Style"/>
          <w:sz w:val="24"/>
          <w:szCs w:val="24"/>
        </w:rPr>
        <w:t>true or that it’s the only truth.  (57)</w:t>
      </w:r>
    </w:p>
    <w:p w:rsidR="00917B85" w:rsidRDefault="00917B85">
      <w:pPr>
        <w:rPr>
          <w:rFonts w:ascii="Bookman Old Style" w:hAnsi="Bookman Old Style"/>
          <w:sz w:val="24"/>
          <w:szCs w:val="24"/>
        </w:rPr>
      </w:pPr>
      <w:r>
        <w:rPr>
          <w:rFonts w:ascii="Bookman Old Style" w:hAnsi="Bookman Old Style"/>
          <w:sz w:val="24"/>
          <w:szCs w:val="24"/>
        </w:rPr>
        <w:t xml:space="preserve">. . . </w:t>
      </w:r>
      <w:proofErr w:type="gramStart"/>
      <w:r>
        <w:rPr>
          <w:rFonts w:ascii="Bookman Old Style" w:hAnsi="Bookman Old Style"/>
          <w:sz w:val="24"/>
          <w:szCs w:val="24"/>
        </w:rPr>
        <w:t>the</w:t>
      </w:r>
      <w:proofErr w:type="gramEnd"/>
      <w:r>
        <w:rPr>
          <w:rFonts w:ascii="Bookman Old Style" w:hAnsi="Bookman Old Style"/>
          <w:sz w:val="24"/>
          <w:szCs w:val="24"/>
        </w:rPr>
        <w:t xml:space="preserve"> question of fairness.  Was it fair that only Christians could go to heaven?  What about people who had never heard of Jesus or Christianity</w:t>
      </w:r>
      <w:proofErr w:type="gramStart"/>
      <w:r>
        <w:rPr>
          <w:rFonts w:ascii="Bookman Old Style" w:hAnsi="Bookman Old Style"/>
          <w:sz w:val="24"/>
          <w:szCs w:val="24"/>
        </w:rPr>
        <w:t xml:space="preserve">? </w:t>
      </w:r>
      <w:proofErr w:type="gramEnd"/>
      <w:r>
        <w:rPr>
          <w:rFonts w:ascii="Bookman Old Style" w:hAnsi="Bookman Old Style"/>
          <w:sz w:val="24"/>
          <w:szCs w:val="24"/>
        </w:rPr>
        <w:t>. . . “Abraham Lincoln was never baptized—does that mean he couldn’t be saved?”  (59-60)</w:t>
      </w:r>
    </w:p>
    <w:p w:rsidR="00917B85" w:rsidRDefault="00917B85">
      <w:pPr>
        <w:rPr>
          <w:rFonts w:ascii="Bookman Old Style" w:hAnsi="Bookman Old Style"/>
          <w:sz w:val="24"/>
          <w:szCs w:val="24"/>
        </w:rPr>
      </w:pPr>
      <w:r>
        <w:rPr>
          <w:rFonts w:ascii="Bookman Old Style" w:hAnsi="Bookman Old Style"/>
          <w:sz w:val="24"/>
          <w:szCs w:val="24"/>
        </w:rPr>
        <w:t>In the Old Testament, which is more than two-thirds [sic] of the Christian Bible, belief in an afterlife is basically absent.  (60)</w:t>
      </w:r>
    </w:p>
    <w:p w:rsidR="00917B85" w:rsidRDefault="00917B85">
      <w:pPr>
        <w:rPr>
          <w:rFonts w:ascii="Bookman Old Style" w:hAnsi="Bookman Old Style"/>
          <w:sz w:val="24"/>
          <w:szCs w:val="24"/>
        </w:rPr>
      </w:pPr>
      <w:r>
        <w:rPr>
          <w:rFonts w:ascii="Bookman Old Style" w:hAnsi="Bookman Old Style"/>
          <w:sz w:val="24"/>
          <w:szCs w:val="24"/>
        </w:rPr>
        <w:t xml:space="preserve">. . . </w:t>
      </w:r>
      <w:proofErr w:type="gramStart"/>
      <w:r>
        <w:rPr>
          <w:rFonts w:ascii="Bookman Old Style" w:hAnsi="Bookman Old Style"/>
          <w:sz w:val="24"/>
          <w:szCs w:val="24"/>
        </w:rPr>
        <w:t>the</w:t>
      </w:r>
      <w:proofErr w:type="gramEnd"/>
      <w:r>
        <w:rPr>
          <w:rFonts w:ascii="Bookman Old Style" w:hAnsi="Bookman Old Style"/>
          <w:sz w:val="24"/>
          <w:szCs w:val="24"/>
        </w:rPr>
        <w:t xml:space="preserve"> great figures of the Old Testament-- . . .—did not believe in life after death.  And yet they we</w:t>
      </w:r>
      <w:r w:rsidR="001461E9">
        <w:rPr>
          <w:rFonts w:ascii="Bookman Old Style" w:hAnsi="Bookman Old Style"/>
          <w:sz w:val="24"/>
          <w:szCs w:val="24"/>
        </w:rPr>
        <w:t>r</w:t>
      </w:r>
      <w:r>
        <w:rPr>
          <w:rFonts w:ascii="Bookman Old Style" w:hAnsi="Bookman Old Style"/>
          <w:sz w:val="24"/>
          <w:szCs w:val="24"/>
        </w:rPr>
        <w:t>e passionate about God and salvation.  (61)</w:t>
      </w:r>
    </w:p>
    <w:p w:rsidR="00917B85" w:rsidRDefault="00917B85">
      <w:pPr>
        <w:rPr>
          <w:rFonts w:ascii="Bookman Old Style" w:hAnsi="Bookman Old Style"/>
          <w:sz w:val="24"/>
          <w:szCs w:val="24"/>
        </w:rPr>
      </w:pPr>
      <w:proofErr w:type="spellStart"/>
      <w:r>
        <w:rPr>
          <w:rFonts w:ascii="Bookman Old Style" w:hAnsi="Bookman Old Style"/>
          <w:sz w:val="24"/>
          <w:szCs w:val="24"/>
        </w:rPr>
        <w:t>Jesus’s</w:t>
      </w:r>
      <w:proofErr w:type="spellEnd"/>
      <w:r>
        <w:rPr>
          <w:rFonts w:ascii="Bookman Old Style" w:hAnsi="Bookman Old Style"/>
          <w:sz w:val="24"/>
          <w:szCs w:val="24"/>
        </w:rPr>
        <w:t xml:space="preserve"> message was not about “how to get to heaven.”  It was about “the kingdom of God,” the central theme of his message in the synoptic gospels. . . . The kingdom is not about heaven.  It’s for the earth, as the best-known prayer in the world affirms: “Your kingdom come </w:t>
      </w:r>
      <w:r w:rsidRPr="00917B85">
        <w:rPr>
          <w:rFonts w:ascii="Bookman Old Style" w:hAnsi="Bookman Old Style"/>
          <w:i/>
          <w:sz w:val="24"/>
          <w:szCs w:val="24"/>
        </w:rPr>
        <w:t>on earth</w:t>
      </w:r>
      <w:r>
        <w:rPr>
          <w:rFonts w:ascii="Bookman Old Style" w:hAnsi="Bookman Old Style"/>
          <w:sz w:val="24"/>
          <w:szCs w:val="24"/>
        </w:rPr>
        <w:t>.”  (62)</w:t>
      </w:r>
    </w:p>
    <w:p w:rsidR="00917B85" w:rsidRDefault="00917B85">
      <w:pPr>
        <w:rPr>
          <w:rFonts w:ascii="Bookman Old Style" w:hAnsi="Bookman Old Style"/>
          <w:sz w:val="24"/>
          <w:szCs w:val="24"/>
        </w:rPr>
      </w:pPr>
      <w:r>
        <w:rPr>
          <w:rFonts w:ascii="Bookman Old Style" w:hAnsi="Bookman Old Style"/>
          <w:sz w:val="24"/>
          <w:szCs w:val="24"/>
        </w:rPr>
        <w:t>When the afterlife is emphasized . . .</w:t>
      </w:r>
    </w:p>
    <w:p w:rsidR="00917B85" w:rsidRDefault="00917B85">
      <w:pPr>
        <w:rPr>
          <w:rFonts w:ascii="Bookman Old Style" w:hAnsi="Bookman Old Style"/>
          <w:sz w:val="24"/>
          <w:szCs w:val="24"/>
        </w:rPr>
      </w:pPr>
      <w:r>
        <w:rPr>
          <w:rFonts w:ascii="Bookman Old Style" w:hAnsi="Bookman Old Style"/>
          <w:sz w:val="24"/>
          <w:szCs w:val="24"/>
        </w:rPr>
        <w:tab/>
      </w:r>
      <w:proofErr w:type="gramStart"/>
      <w:r w:rsidR="001461E9">
        <w:rPr>
          <w:rFonts w:ascii="Bookman Old Style" w:hAnsi="Bookman Old Style"/>
          <w:sz w:val="24"/>
          <w:szCs w:val="24"/>
        </w:rPr>
        <w:t>i</w:t>
      </w:r>
      <w:r>
        <w:rPr>
          <w:rFonts w:ascii="Bookman Old Style" w:hAnsi="Bookman Old Style"/>
          <w:sz w:val="24"/>
          <w:szCs w:val="24"/>
        </w:rPr>
        <w:t>t</w:t>
      </w:r>
      <w:proofErr w:type="gramEnd"/>
      <w:r>
        <w:rPr>
          <w:rFonts w:ascii="Bookman Old Style" w:hAnsi="Bookman Old Style"/>
          <w:sz w:val="24"/>
          <w:szCs w:val="24"/>
        </w:rPr>
        <w:t xml:space="preserve"> turns Christianity into a religion of requirements and rewar</w:t>
      </w:r>
      <w:r w:rsidR="001461E9">
        <w:rPr>
          <w:rFonts w:ascii="Bookman Old Style" w:hAnsi="Bookman Old Style"/>
          <w:sz w:val="24"/>
          <w:szCs w:val="24"/>
        </w:rPr>
        <w:t>ds</w:t>
      </w:r>
    </w:p>
    <w:p w:rsidR="00917B85" w:rsidRDefault="001461E9">
      <w:pPr>
        <w:rPr>
          <w:rFonts w:ascii="Bookman Old Style" w:hAnsi="Bookman Old Style"/>
          <w:sz w:val="24"/>
          <w:szCs w:val="24"/>
        </w:rPr>
      </w:pPr>
      <w:r>
        <w:rPr>
          <w:rFonts w:ascii="Bookman Old Style" w:hAnsi="Bookman Old Style"/>
          <w:sz w:val="24"/>
          <w:szCs w:val="24"/>
        </w:rPr>
        <w:tab/>
      </w:r>
      <w:proofErr w:type="gramStart"/>
      <w:r>
        <w:rPr>
          <w:rFonts w:ascii="Bookman Old Style" w:hAnsi="Bookman Old Style"/>
          <w:sz w:val="24"/>
          <w:szCs w:val="24"/>
        </w:rPr>
        <w:t>i</w:t>
      </w:r>
      <w:r w:rsidR="00917B85">
        <w:rPr>
          <w:rFonts w:ascii="Bookman Old Style" w:hAnsi="Bookman Old Style"/>
          <w:sz w:val="24"/>
          <w:szCs w:val="24"/>
        </w:rPr>
        <w:t>t</w:t>
      </w:r>
      <w:proofErr w:type="gramEnd"/>
      <w:r w:rsidR="00917B85">
        <w:rPr>
          <w:rFonts w:ascii="Bookman Old Style" w:hAnsi="Bookman Old Style"/>
          <w:sz w:val="24"/>
          <w:szCs w:val="24"/>
        </w:rPr>
        <w:t xml:space="preserve"> creates a contractual unde</w:t>
      </w:r>
      <w:r>
        <w:rPr>
          <w:rFonts w:ascii="Bookman Old Style" w:hAnsi="Bookman Old Style"/>
          <w:sz w:val="24"/>
          <w:szCs w:val="24"/>
        </w:rPr>
        <w:t>rstanding of the Christian life</w:t>
      </w:r>
    </w:p>
    <w:p w:rsidR="00917B85" w:rsidRDefault="00917B85">
      <w:pPr>
        <w:rPr>
          <w:rFonts w:ascii="Bookman Old Style" w:hAnsi="Bookman Old Style"/>
          <w:sz w:val="24"/>
          <w:szCs w:val="24"/>
        </w:rPr>
      </w:pPr>
      <w:r>
        <w:rPr>
          <w:rFonts w:ascii="Bookman Old Style" w:hAnsi="Bookman Old Style"/>
          <w:sz w:val="24"/>
          <w:szCs w:val="24"/>
        </w:rPr>
        <w:tab/>
      </w:r>
      <w:proofErr w:type="gramStart"/>
      <w:r w:rsidR="001461E9">
        <w:rPr>
          <w:rFonts w:ascii="Bookman Old Style" w:hAnsi="Bookman Old Style"/>
          <w:sz w:val="24"/>
          <w:szCs w:val="24"/>
        </w:rPr>
        <w:t>it</w:t>
      </w:r>
      <w:proofErr w:type="gramEnd"/>
      <w:r w:rsidR="001461E9">
        <w:rPr>
          <w:rFonts w:ascii="Bookman Old Style" w:hAnsi="Bookman Old Style"/>
          <w:sz w:val="24"/>
          <w:szCs w:val="24"/>
        </w:rPr>
        <w:t xml:space="preserve"> undermines the definition of grace</w:t>
      </w:r>
    </w:p>
    <w:p w:rsidR="001461E9" w:rsidRDefault="001461E9">
      <w:pPr>
        <w:rPr>
          <w:rFonts w:ascii="Bookman Old Style" w:hAnsi="Bookman Old Style"/>
          <w:sz w:val="24"/>
          <w:szCs w:val="24"/>
        </w:rPr>
      </w:pPr>
      <w:r>
        <w:rPr>
          <w:rFonts w:ascii="Bookman Old Style" w:hAnsi="Bookman Old Style"/>
          <w:sz w:val="24"/>
          <w:szCs w:val="24"/>
        </w:rPr>
        <w:tab/>
      </w:r>
      <w:proofErr w:type="gramStart"/>
      <w:r>
        <w:rPr>
          <w:rFonts w:ascii="Bookman Old Style" w:hAnsi="Bookman Old Style"/>
          <w:sz w:val="24"/>
          <w:szCs w:val="24"/>
        </w:rPr>
        <w:t>it</w:t>
      </w:r>
      <w:proofErr w:type="gramEnd"/>
      <w:r>
        <w:rPr>
          <w:rFonts w:ascii="Bookman Old Style" w:hAnsi="Bookman Old Style"/>
          <w:sz w:val="24"/>
          <w:szCs w:val="24"/>
        </w:rPr>
        <w:t xml:space="preserve"> turns Christianity into a religion of self-preservation</w:t>
      </w:r>
    </w:p>
    <w:p w:rsidR="001461E9" w:rsidRDefault="001461E9" w:rsidP="001461E9">
      <w:pPr>
        <w:ind w:firstLine="720"/>
        <w:rPr>
          <w:rFonts w:ascii="Bookman Old Style" w:hAnsi="Bookman Old Style"/>
          <w:sz w:val="24"/>
          <w:szCs w:val="24"/>
        </w:rPr>
      </w:pPr>
      <w:proofErr w:type="gramStart"/>
      <w:r>
        <w:rPr>
          <w:rFonts w:ascii="Bookman Old Style" w:hAnsi="Bookman Old Style"/>
          <w:sz w:val="24"/>
          <w:szCs w:val="24"/>
        </w:rPr>
        <w:t>it</w:t>
      </w:r>
      <w:proofErr w:type="gramEnd"/>
      <w:r>
        <w:rPr>
          <w:rFonts w:ascii="Bookman Old Style" w:hAnsi="Bookman Old Style"/>
          <w:sz w:val="24"/>
          <w:szCs w:val="24"/>
        </w:rPr>
        <w:t xml:space="preserve"> divides people into the “saved” and the “unsaved” . . . only the right kind of </w:t>
      </w:r>
      <w:r w:rsidR="009A002C">
        <w:rPr>
          <w:rFonts w:ascii="Bookman Old Style" w:hAnsi="Bookman Old Style"/>
          <w:sz w:val="24"/>
          <w:szCs w:val="24"/>
        </w:rPr>
        <w:t>Christians can be saved</w:t>
      </w:r>
    </w:p>
    <w:p w:rsidR="001461E9" w:rsidRDefault="001461E9">
      <w:pPr>
        <w:rPr>
          <w:rFonts w:ascii="Bookman Old Style" w:hAnsi="Bookman Old Style"/>
          <w:sz w:val="24"/>
          <w:szCs w:val="24"/>
        </w:rPr>
      </w:pPr>
      <w:r>
        <w:rPr>
          <w:rFonts w:ascii="Bookman Old Style" w:hAnsi="Bookman Old Style"/>
          <w:sz w:val="24"/>
          <w:szCs w:val="24"/>
        </w:rPr>
        <w:lastRenderedPageBreak/>
        <w:tab/>
      </w:r>
      <w:proofErr w:type="gramStart"/>
      <w:r>
        <w:rPr>
          <w:rFonts w:ascii="Bookman Old Style" w:hAnsi="Bookman Old Style"/>
          <w:sz w:val="24"/>
          <w:szCs w:val="24"/>
        </w:rPr>
        <w:t>it</w:t>
      </w:r>
      <w:proofErr w:type="gramEnd"/>
      <w:r>
        <w:rPr>
          <w:rFonts w:ascii="Bookman Old Style" w:hAnsi="Bookman Old Style"/>
          <w:sz w:val="24"/>
          <w:szCs w:val="24"/>
        </w:rPr>
        <w:t xml:space="preserve"> focuses attention on the next life to the detriment of attention to this life.  (63-65)</w:t>
      </w:r>
    </w:p>
    <w:p w:rsidR="001461E9" w:rsidRDefault="001461E9">
      <w:pPr>
        <w:rPr>
          <w:rFonts w:ascii="Bookman Old Style" w:hAnsi="Bookman Old Style"/>
          <w:sz w:val="24"/>
          <w:szCs w:val="24"/>
        </w:rPr>
      </w:pPr>
      <w:r>
        <w:rPr>
          <w:rFonts w:ascii="Bookman Old Style" w:hAnsi="Bookman Old Style"/>
          <w:sz w:val="24"/>
          <w:szCs w:val="24"/>
        </w:rPr>
        <w:t>The meanings of salvation and being saved are rescue and deliverance: to be rescued, delivered from a negative condition of life to a new and</w:t>
      </w:r>
      <w:r w:rsidR="009A002C">
        <w:rPr>
          <w:rFonts w:ascii="Bookman Old Style" w:hAnsi="Bookman Old Style"/>
          <w:sz w:val="24"/>
          <w:szCs w:val="24"/>
        </w:rPr>
        <w:t xml:space="preserve"> </w:t>
      </w:r>
      <w:r>
        <w:rPr>
          <w:rFonts w:ascii="Bookman Old Style" w:hAnsi="Bookman Old Style"/>
          <w:sz w:val="24"/>
          <w:szCs w:val="24"/>
        </w:rPr>
        <w:t>positive way of life.  (65)</w:t>
      </w:r>
    </w:p>
    <w:p w:rsidR="001461E9" w:rsidRDefault="001461E9">
      <w:pPr>
        <w:rPr>
          <w:rFonts w:ascii="Bookman Old Style" w:hAnsi="Bookman Old Style"/>
          <w:sz w:val="24"/>
          <w:szCs w:val="24"/>
        </w:rPr>
      </w:pPr>
      <w:r>
        <w:rPr>
          <w:rFonts w:ascii="Bookman Old Style" w:hAnsi="Bookman Old Style"/>
          <w:sz w:val="24"/>
          <w:szCs w:val="24"/>
        </w:rPr>
        <w:t xml:space="preserve">Salvation as </w:t>
      </w:r>
    </w:p>
    <w:p w:rsidR="00917B85" w:rsidRDefault="001461E9" w:rsidP="001461E9">
      <w:pPr>
        <w:ind w:firstLine="720"/>
        <w:rPr>
          <w:rFonts w:ascii="Bookman Old Style" w:hAnsi="Bookman Old Style"/>
          <w:sz w:val="24"/>
          <w:szCs w:val="24"/>
        </w:rPr>
      </w:pPr>
      <w:r>
        <w:rPr>
          <w:rFonts w:ascii="Bookman Old Style" w:hAnsi="Bookman Old Style"/>
          <w:sz w:val="24"/>
          <w:szCs w:val="24"/>
        </w:rPr>
        <w:t>Liberation from Bondage (66)</w:t>
      </w:r>
    </w:p>
    <w:p w:rsidR="001461E9" w:rsidRDefault="001461E9" w:rsidP="001461E9">
      <w:pPr>
        <w:ind w:firstLine="720"/>
        <w:rPr>
          <w:rFonts w:ascii="Bookman Old Style" w:hAnsi="Bookman Old Style"/>
          <w:sz w:val="24"/>
          <w:szCs w:val="24"/>
        </w:rPr>
      </w:pPr>
      <w:r>
        <w:rPr>
          <w:rFonts w:ascii="Bookman Old Style" w:hAnsi="Bookman Old Style"/>
          <w:sz w:val="24"/>
          <w:szCs w:val="24"/>
        </w:rPr>
        <w:t>Return from Exile (67)</w:t>
      </w:r>
    </w:p>
    <w:p w:rsidR="001461E9" w:rsidRDefault="001461E9" w:rsidP="001461E9">
      <w:pPr>
        <w:ind w:firstLine="720"/>
        <w:rPr>
          <w:rFonts w:ascii="Bookman Old Style" w:hAnsi="Bookman Old Style"/>
          <w:sz w:val="24"/>
          <w:szCs w:val="24"/>
        </w:rPr>
      </w:pPr>
      <w:r>
        <w:rPr>
          <w:rFonts w:ascii="Bookman Old Style" w:hAnsi="Bookman Old Style"/>
          <w:sz w:val="24"/>
          <w:szCs w:val="24"/>
        </w:rPr>
        <w:t xml:space="preserve">Life to the </w:t>
      </w:r>
      <w:proofErr w:type="gramStart"/>
      <w:r>
        <w:rPr>
          <w:rFonts w:ascii="Bookman Old Style" w:hAnsi="Bookman Old Style"/>
          <w:sz w:val="24"/>
          <w:szCs w:val="24"/>
        </w:rPr>
        <w:t>Dead  (</w:t>
      </w:r>
      <w:proofErr w:type="gramEnd"/>
      <w:r>
        <w:rPr>
          <w:rFonts w:ascii="Bookman Old Style" w:hAnsi="Bookman Old Style"/>
          <w:sz w:val="24"/>
          <w:szCs w:val="24"/>
        </w:rPr>
        <w:t>71)</w:t>
      </w:r>
    </w:p>
    <w:p w:rsidR="001461E9" w:rsidRDefault="001461E9" w:rsidP="001461E9">
      <w:pPr>
        <w:ind w:firstLine="720"/>
        <w:rPr>
          <w:rFonts w:ascii="Bookman Old Style" w:hAnsi="Bookman Old Style"/>
          <w:sz w:val="24"/>
          <w:szCs w:val="24"/>
        </w:rPr>
      </w:pPr>
      <w:r>
        <w:rPr>
          <w:rFonts w:ascii="Bookman Old Style" w:hAnsi="Bookman Old Style"/>
          <w:sz w:val="24"/>
          <w:szCs w:val="24"/>
        </w:rPr>
        <w:t>Food and Drink (71)</w:t>
      </w:r>
    </w:p>
    <w:p w:rsidR="001461E9" w:rsidRDefault="001461E9" w:rsidP="001461E9">
      <w:pPr>
        <w:ind w:firstLine="720"/>
        <w:rPr>
          <w:rFonts w:ascii="Bookman Old Style" w:hAnsi="Bookman Old Style"/>
          <w:sz w:val="24"/>
          <w:szCs w:val="24"/>
        </w:rPr>
      </w:pPr>
      <w:r>
        <w:rPr>
          <w:rFonts w:ascii="Bookman Old Style" w:hAnsi="Bookman Old Style"/>
          <w:sz w:val="24"/>
          <w:szCs w:val="24"/>
        </w:rPr>
        <w:t>Being Saved from Sin (72)</w:t>
      </w:r>
    </w:p>
    <w:p w:rsidR="001461E9" w:rsidRDefault="001461E9">
      <w:pPr>
        <w:rPr>
          <w:rFonts w:ascii="Bookman Old Style" w:hAnsi="Bookman Old Style"/>
          <w:sz w:val="24"/>
          <w:szCs w:val="24"/>
        </w:rPr>
      </w:pPr>
      <w:r>
        <w:rPr>
          <w:rFonts w:ascii="Bookman Old Style" w:hAnsi="Bookman Old Style"/>
          <w:sz w:val="24"/>
          <w:szCs w:val="24"/>
        </w:rPr>
        <w:t xml:space="preserve">But </w:t>
      </w:r>
      <w:r w:rsidRPr="001461E9">
        <w:rPr>
          <w:rFonts w:ascii="Bookman Old Style" w:hAnsi="Bookman Old Style"/>
          <w:i/>
          <w:sz w:val="24"/>
          <w:szCs w:val="24"/>
        </w:rPr>
        <w:t>believing</w:t>
      </w:r>
      <w:r>
        <w:rPr>
          <w:rFonts w:ascii="Bookman Old Style" w:hAnsi="Bookman Old Style"/>
          <w:sz w:val="24"/>
          <w:szCs w:val="24"/>
        </w:rPr>
        <w:t xml:space="preserve"> something to be true has nothing to do with whether it is true.  (72)</w:t>
      </w:r>
    </w:p>
    <w:p w:rsidR="001461E9" w:rsidRDefault="001461E9">
      <w:pPr>
        <w:rPr>
          <w:rFonts w:ascii="Bookman Old Style" w:hAnsi="Bookman Old Style"/>
          <w:sz w:val="24"/>
          <w:szCs w:val="24"/>
        </w:rPr>
      </w:pPr>
      <w:r>
        <w:rPr>
          <w:rFonts w:ascii="Bookman Old Style" w:hAnsi="Bookman Old Style"/>
          <w:sz w:val="24"/>
          <w:szCs w:val="24"/>
        </w:rPr>
        <w:t>. . . “</w:t>
      </w:r>
      <w:proofErr w:type="gramStart"/>
      <w:r>
        <w:rPr>
          <w:rFonts w:ascii="Bookman Old Style" w:hAnsi="Bookman Old Style"/>
          <w:sz w:val="24"/>
          <w:szCs w:val="24"/>
        </w:rPr>
        <w:t>it</w:t>
      </w:r>
      <w:proofErr w:type="gramEnd"/>
      <w:r>
        <w:rPr>
          <w:rFonts w:ascii="Bookman Old Style" w:hAnsi="Bookman Old Style"/>
          <w:sz w:val="24"/>
          <w:szCs w:val="24"/>
        </w:rPr>
        <w:t>”—Christianity and salvation—is about transformation this side of death.  (75)</w:t>
      </w:r>
    </w:p>
    <w:p w:rsidR="001461E9" w:rsidRDefault="001461E9">
      <w:pPr>
        <w:rPr>
          <w:rFonts w:ascii="Bookman Old Style" w:hAnsi="Bookman Old Style"/>
          <w:sz w:val="24"/>
          <w:szCs w:val="24"/>
        </w:rPr>
      </w:pPr>
      <w:r>
        <w:rPr>
          <w:rFonts w:ascii="Bookman Old Style" w:hAnsi="Bookman Old Style"/>
          <w:sz w:val="24"/>
          <w:szCs w:val="24"/>
        </w:rPr>
        <w:t>Salvation is about liberation, reconnection, seeing anew, acceptance, and the satisfaction of our deepest yearnings.  (75)</w:t>
      </w:r>
    </w:p>
    <w:p w:rsidR="009A002C" w:rsidRDefault="009A002C">
      <w:pPr>
        <w:rPr>
          <w:rFonts w:ascii="Bookman Old Style" w:hAnsi="Bookman Old Style"/>
          <w:sz w:val="24"/>
          <w:szCs w:val="24"/>
        </w:rPr>
      </w:pPr>
    </w:p>
    <w:p w:rsidR="009A002C" w:rsidRDefault="009A002C">
      <w:pPr>
        <w:rPr>
          <w:rFonts w:ascii="Bookman Old Style" w:hAnsi="Bookman Old Style"/>
          <w:b/>
          <w:sz w:val="24"/>
          <w:szCs w:val="24"/>
        </w:rPr>
      </w:pPr>
      <w:r>
        <w:rPr>
          <w:rFonts w:ascii="Bookman Old Style" w:hAnsi="Bookman Old Style"/>
          <w:b/>
          <w:sz w:val="24"/>
          <w:szCs w:val="24"/>
        </w:rPr>
        <w:t>Amos</w:t>
      </w:r>
    </w:p>
    <w:p w:rsidR="009A002C" w:rsidRPr="009A002C" w:rsidRDefault="009A002C">
      <w:pPr>
        <w:rPr>
          <w:rFonts w:ascii="Bookman Old Style" w:hAnsi="Bookman Old Style"/>
          <w:sz w:val="24"/>
          <w:szCs w:val="24"/>
        </w:rPr>
      </w:pPr>
      <w:proofErr w:type="gramStart"/>
      <w:r>
        <w:rPr>
          <w:rFonts w:ascii="Bookman Old Style" w:hAnsi="Bookman Old Style"/>
          <w:sz w:val="24"/>
          <w:szCs w:val="24"/>
        </w:rPr>
        <w:t>Shepherd-prophet from the Northern Kingdom.</w:t>
      </w:r>
      <w:proofErr w:type="gramEnd"/>
      <w:r>
        <w:rPr>
          <w:rFonts w:ascii="Bookman Old Style" w:hAnsi="Bookman Old Style"/>
          <w:sz w:val="24"/>
          <w:szCs w:val="24"/>
        </w:rPr>
        <w:t xml:space="preserve">  Note how he starts prophecy by condemning all the peoples surrounding Israel—Edom, Moab, even Judah.  All that condemnation of enemies would make Israelite listeners very happy. Finally, he turns on Israel herself, who has been privileged to be Yahweh’s chosen.  </w:t>
      </w:r>
      <w:proofErr w:type="gramStart"/>
      <w:r>
        <w:rPr>
          <w:rFonts w:ascii="Bookman Old Style" w:hAnsi="Bookman Old Style"/>
          <w:sz w:val="24"/>
          <w:szCs w:val="24"/>
        </w:rPr>
        <w:t>How much worse, then, that she has ignored the law, forgotten the commandments, continued to heap the altars with offerings when no longer in covenant with God.</w:t>
      </w:r>
      <w:proofErr w:type="gramEnd"/>
      <w:r>
        <w:rPr>
          <w:rFonts w:ascii="Bookman Old Style" w:hAnsi="Bookman Old Style"/>
          <w:sz w:val="24"/>
          <w:szCs w:val="24"/>
        </w:rPr>
        <w:t xml:space="preserve">  Then Amos tells all that will happen to her and why—as Borg says, Israel has widened the gap between rich and poor and exploited the poor.  At the end, after Yahweh oversees her destruction (Assyria will subsume these tribes into herself so that they are no longer a separate people of Yahweh), there is some hope of rebuilding.  But there is no hope for Israel as she is now.  Note all the metaphors.</w:t>
      </w:r>
    </w:p>
    <w:p w:rsidR="001461E9" w:rsidRDefault="001461E9">
      <w:pPr>
        <w:rPr>
          <w:rFonts w:ascii="Bookman Old Style" w:hAnsi="Bookman Old Style"/>
          <w:sz w:val="24"/>
          <w:szCs w:val="24"/>
        </w:rPr>
      </w:pPr>
    </w:p>
    <w:p w:rsidR="001461E9" w:rsidRDefault="001461E9">
      <w:pPr>
        <w:rPr>
          <w:rFonts w:ascii="Bookman Old Style" w:hAnsi="Bookman Old Style"/>
          <w:sz w:val="24"/>
          <w:szCs w:val="24"/>
        </w:rPr>
      </w:pPr>
    </w:p>
    <w:p w:rsidR="00917B85" w:rsidRPr="00917B85" w:rsidRDefault="00917B85">
      <w:pPr>
        <w:rPr>
          <w:rFonts w:ascii="Bookman Old Style" w:hAnsi="Bookman Old Style"/>
          <w:sz w:val="24"/>
          <w:szCs w:val="24"/>
        </w:rPr>
      </w:pPr>
    </w:p>
    <w:sectPr w:rsidR="00917B85" w:rsidRPr="00917B85" w:rsidSect="00CA78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B85"/>
    <w:rsid w:val="001461E9"/>
    <w:rsid w:val="00917B85"/>
    <w:rsid w:val="009A002C"/>
    <w:rsid w:val="00CA7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Sherry Darrell</cp:lastModifiedBy>
  <cp:revision>1</cp:revision>
  <dcterms:created xsi:type="dcterms:W3CDTF">2015-04-20T19:58:00Z</dcterms:created>
  <dcterms:modified xsi:type="dcterms:W3CDTF">2015-04-20T20:28:00Z</dcterms:modified>
</cp:coreProperties>
</file>